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602" w:rsidRPr="00773602" w:rsidRDefault="00773602" w:rsidP="00773602">
      <w:pPr>
        <w:rPr>
          <w:rFonts w:ascii="Verdana" w:hAnsi="Verdana"/>
        </w:rPr>
      </w:pPr>
    </w:p>
    <w:p w:rsidR="00773602" w:rsidRPr="00773602" w:rsidRDefault="00773602" w:rsidP="00773602">
      <w:pPr>
        <w:rPr>
          <w:rFonts w:ascii="Verdana" w:hAnsi="Verdana"/>
          <w:b/>
        </w:rPr>
      </w:pPr>
      <w:r w:rsidRPr="00773602">
        <w:rPr>
          <w:rFonts w:ascii="Verdana" w:hAnsi="Verdana"/>
          <w:b/>
        </w:rPr>
        <w:t>Adela Cortina. Ciudadanos del mundo. Hacia una teoría de la ciudadanía. Alianza Editorial. 1998. Págs. 21-26</w:t>
      </w:r>
    </w:p>
    <w:p w:rsidR="00773602" w:rsidRPr="00773602" w:rsidRDefault="00773602" w:rsidP="00773602">
      <w:pPr>
        <w:rPr>
          <w:rFonts w:ascii="Verdana" w:hAnsi="Verdana"/>
        </w:rPr>
      </w:pPr>
      <w:r w:rsidRPr="00773602">
        <w:rPr>
          <w:rFonts w:ascii="Verdana" w:hAnsi="Verdana"/>
        </w:rPr>
        <w:t>Hacia una teoría de la ciudadanía.</w:t>
      </w:r>
    </w:p>
    <w:p w:rsidR="00773602" w:rsidRPr="00773602" w:rsidRDefault="00773602" w:rsidP="00773602">
      <w:pPr>
        <w:rPr>
          <w:rFonts w:ascii="Verdana" w:hAnsi="Verdana"/>
        </w:rPr>
      </w:pPr>
      <w:r w:rsidRPr="00773602">
        <w:rPr>
          <w:rFonts w:ascii="Verdana" w:hAnsi="Verdana"/>
        </w:rPr>
        <w:t xml:space="preserve">Civilidad: una virtud necesaria. </w:t>
      </w:r>
    </w:p>
    <w:p w:rsidR="00773602" w:rsidRPr="00773602" w:rsidRDefault="00773602" w:rsidP="00773602">
      <w:pPr>
        <w:rPr>
          <w:rFonts w:ascii="Verdana" w:hAnsi="Verdana"/>
        </w:rPr>
      </w:pPr>
      <w:r w:rsidRPr="00773602">
        <w:rPr>
          <w:rFonts w:ascii="Verdana" w:hAnsi="Verdana"/>
        </w:rPr>
        <w:t xml:space="preserve">En la década de los noventa de este siglo XX, próximo a expirar, se ha puesto de actualidad un término tan antiguo como el de “ciudadanía” en esa área del saber que los anglosajones designan con el vocablo </w:t>
      </w:r>
      <w:proofErr w:type="spellStart"/>
      <w:r w:rsidRPr="00773602">
        <w:rPr>
          <w:rFonts w:ascii="Verdana" w:hAnsi="Verdana"/>
        </w:rPr>
        <w:t>Morals</w:t>
      </w:r>
      <w:proofErr w:type="spellEnd"/>
      <w:r w:rsidRPr="00773602">
        <w:rPr>
          <w:rFonts w:ascii="Verdana" w:hAnsi="Verdana"/>
        </w:rPr>
        <w:t>, y que tiene por objeto reflexionar tanto sobre la moral como sobre el derecho y la política. Se multiplican las teorías de la ciudadanía, y en los discursos morales, en el amplio sentido mencionado, menudean las referencias a ella:   ciudadanía política de los miembros de un Estado nacional, ciudadanía transnacional, en el caso comunidades supraestatales como la Unión Europea, ciudadanía cosmopolita como referente necesario de una república mundial.</w:t>
      </w:r>
    </w:p>
    <w:p w:rsidR="00773602" w:rsidRPr="00773602" w:rsidRDefault="00773602" w:rsidP="00773602">
      <w:pPr>
        <w:rPr>
          <w:rFonts w:ascii="Verdana" w:hAnsi="Verdana"/>
        </w:rPr>
      </w:pPr>
      <w:r w:rsidRPr="00773602">
        <w:rPr>
          <w:rFonts w:ascii="Verdana" w:hAnsi="Verdana"/>
        </w:rPr>
        <w:t>¿Qué razones abonan la deslumbrante actualidad de un tan añejo concepto?</w:t>
      </w:r>
    </w:p>
    <w:p w:rsidR="00773602" w:rsidRPr="00773602" w:rsidRDefault="00773602" w:rsidP="00773602">
      <w:pPr>
        <w:rPr>
          <w:rFonts w:ascii="Verdana" w:hAnsi="Verdana"/>
        </w:rPr>
      </w:pPr>
      <w:r w:rsidRPr="00773602">
        <w:rPr>
          <w:rFonts w:ascii="Verdana" w:hAnsi="Verdana"/>
        </w:rPr>
        <w:t>De entre las múltiples razones que podrían aducirse, una parece constituir el cimiento sobre el que las restantes se asientan: la necesidad, en las sociedades postindustriales, de generar entre sus miembros un tipo de identidad en la que se reconozcan y que les haga sentirse pertenecientes a ellas, porque este tipo de sociedades adolece claramente de un déficit de adhesión por parte de los ciudadanos al conjunto de la comunidad, y sin esa adhesión resulta imposible responder conjuntamente a los retos que a todos se plantean.</w:t>
      </w:r>
    </w:p>
    <w:p w:rsidR="00773602" w:rsidRPr="00773602" w:rsidRDefault="00773602" w:rsidP="00773602">
      <w:pPr>
        <w:rPr>
          <w:rFonts w:ascii="Verdana" w:hAnsi="Verdana"/>
        </w:rPr>
      </w:pPr>
      <w:r w:rsidRPr="00773602">
        <w:rPr>
          <w:rFonts w:ascii="Verdana" w:hAnsi="Verdana"/>
        </w:rPr>
        <w:t>Bien supo ver Daniel Bell en los años sesenta y setenta que en sociedades cuya clave moral es el individualismo hedonista, resulta imposible superar las crisis. Los individuos movidos únicamente por el interés de satisfacer toda suerte de deseos sensibles en el momento presente, no sienten el menor afecto por su comunidad y, por ende, no están dispuestos a sacrificar sus intereses egoístas en aras de la cosa pública.</w:t>
      </w:r>
    </w:p>
    <w:p w:rsidR="00773602" w:rsidRPr="00773602" w:rsidRDefault="00773602" w:rsidP="00773602">
      <w:pPr>
        <w:rPr>
          <w:rFonts w:ascii="Verdana" w:hAnsi="Verdana"/>
        </w:rPr>
      </w:pPr>
      <w:r w:rsidRPr="00773602">
        <w:rPr>
          <w:rFonts w:ascii="Verdana" w:hAnsi="Verdana"/>
        </w:rPr>
        <w:t xml:space="preserve">Pero si los ciudadanos no están dispuestos a compartir activamente las cargas de su vida común –piensa Bell-, quedan en peligro los dos logros de la Modernidad, que son, según él,  la democracia liberal y el capitalismo. El sistema político y el económico están, pues, dependiendo de una revolución cultural, que asegure la civilidad, la disponibilidad de los ciudadanos a comprometerse en la cosa pública. De ahí que uno de los grandes problemas en las sociedades del capitalismo tardío consista en conseguir que cooperen en la construcción de la comunidad política unos ciudadanos preocupados </w:t>
      </w:r>
      <w:r w:rsidRPr="00773602">
        <w:rPr>
          <w:rFonts w:ascii="Verdana" w:hAnsi="Verdana"/>
        </w:rPr>
        <w:lastRenderedPageBreak/>
        <w:t>únicamente por satisfacer sus deseos individuales. ¿Cómo lograr que estén dispuestos a sacrificarse por el bien común, cuando sea necesario, unos individuos que hacen del placer presente el único objetivo de su vida?</w:t>
      </w:r>
    </w:p>
    <w:p w:rsidR="00773602" w:rsidRPr="00773602" w:rsidRDefault="00773602" w:rsidP="00773602">
      <w:pPr>
        <w:rPr>
          <w:rFonts w:ascii="Verdana" w:hAnsi="Verdana"/>
        </w:rPr>
      </w:pPr>
      <w:r w:rsidRPr="00773602">
        <w:rPr>
          <w:rFonts w:ascii="Verdana" w:hAnsi="Verdana"/>
        </w:rPr>
        <w:t>Bell propondrá, entre otras cosas, promover la religión civil, la religión de los ciudadanos, como ya sugiriera Rousseau, y fortalecer el hogar público. La religión civil puede ser una fuerza motivadora, en la medida en que los ciudadanos se sienten atraídos por los símbolos que a todos unen –bandera, himno, acontecimientos históricos relevantes-, aunque puedan existir entre ellos diferencias económicas abismales: los social y económicamente desiguales se sentirían igualmente miembros de una comunidad política gracias a los símbolos comunes y estarían dispuestos en consecuencia a sacrificarse por ella.</w:t>
      </w:r>
    </w:p>
    <w:p w:rsidR="00773602" w:rsidRPr="00773602" w:rsidRDefault="00773602" w:rsidP="00773602">
      <w:pPr>
        <w:rPr>
          <w:rFonts w:ascii="Verdana" w:hAnsi="Verdana"/>
        </w:rPr>
      </w:pPr>
      <w:r w:rsidRPr="00773602">
        <w:rPr>
          <w:rFonts w:ascii="Verdana" w:hAnsi="Verdana"/>
        </w:rPr>
        <w:t>Como es obvio,  es ésta una solución que se ha adoptado con entusiasmo en diversas comunidades y, sin embargo, resulta en ocasiones bastante dudosa desde el punto de vista de la justicia social, porque puede funcionar como un nuevo “opio” para el pueblo, o al menos como una suerte de linimento que se aplica a la heridas de los injustamente tratados por la sociedad. Asombra contemplar cómo un buen número de argentinos aplaudió la Guerra las Malvinas, justamente en la época de los desaparecidos, y cómo banderas, himnos, vivas a la patria pueden hacer olvidar a sectores enteros de poblaciones que están siendo relegados diariamente. Por eso desde las exigencias de justicia resulta bastante más convincente la otra propuesta de Bell en el mencionado libro: el fortalecimiento del hogar público.</w:t>
      </w:r>
    </w:p>
    <w:p w:rsidR="00773602" w:rsidRPr="00773602" w:rsidRDefault="00773602" w:rsidP="00773602">
      <w:pPr>
        <w:rPr>
          <w:rFonts w:ascii="Verdana" w:hAnsi="Verdana"/>
        </w:rPr>
      </w:pPr>
      <w:r w:rsidRPr="00773602">
        <w:rPr>
          <w:rFonts w:ascii="Verdana" w:hAnsi="Verdana"/>
        </w:rPr>
        <w:t xml:space="preserve">El hogar público es el sector de la administración de los ingresos y los gastos del Estado, que satisface las necesidades y aspiraciones públicas y se sitúa más allá del hogar doméstico y de la economía de mercado. Su promoción asegura una cierta economía común, que incide en una más justa distribución de la riqueza. Sin embargo –se lamentaba Bell en los años setenta-, “el hecho extraordinario es que no tenemos ninguna teoría sociológica del hogar público (…). Ninguna filosofía política (con la reciente excepción de John </w:t>
      </w:r>
      <w:proofErr w:type="spellStart"/>
      <w:r w:rsidRPr="00773602">
        <w:rPr>
          <w:rFonts w:ascii="Verdana" w:hAnsi="Verdana"/>
        </w:rPr>
        <w:t>Rawls</w:t>
      </w:r>
      <w:proofErr w:type="spellEnd"/>
      <w:r w:rsidRPr="00773602">
        <w:rPr>
          <w:rFonts w:ascii="Verdana" w:hAnsi="Verdana"/>
        </w:rPr>
        <w:t>, pero nada de los autores socialistas) que trate de elaborar una teoría de la justicia distributiva basada en el carácter central del hogar público en la sociedad”.</w:t>
      </w:r>
    </w:p>
    <w:p w:rsidR="00773602" w:rsidRPr="00773602" w:rsidRDefault="00773602" w:rsidP="00773602">
      <w:pPr>
        <w:rPr>
          <w:rFonts w:ascii="Verdana" w:hAnsi="Verdana"/>
        </w:rPr>
      </w:pPr>
      <w:r w:rsidRPr="00773602">
        <w:rPr>
          <w:rFonts w:ascii="Verdana" w:hAnsi="Verdana"/>
        </w:rPr>
        <w:t xml:space="preserve">Estas palabras resultaron proféticas. Tras la publicación de Teoría de la justicia de John </w:t>
      </w:r>
      <w:proofErr w:type="spellStart"/>
      <w:r w:rsidRPr="00773602">
        <w:rPr>
          <w:rFonts w:ascii="Verdana" w:hAnsi="Verdana"/>
        </w:rPr>
        <w:t>Rawls</w:t>
      </w:r>
      <w:proofErr w:type="spellEnd"/>
      <w:r w:rsidRPr="00773602">
        <w:rPr>
          <w:rFonts w:ascii="Verdana" w:hAnsi="Verdana"/>
        </w:rPr>
        <w:t xml:space="preserve"> (1971), la década de los setenta y los ochenta se caracteriza por la proliferación de publicaciones en torno a la noción de justicia distributiva. Algunas de estas teorías intentan reforzar el acuerdo entre los ciudadanos en torno a una noción de justicia, con el </w:t>
      </w:r>
      <w:proofErr w:type="spellStart"/>
      <w:r w:rsidRPr="00773602">
        <w:rPr>
          <w:rFonts w:ascii="Verdana" w:hAnsi="Verdana"/>
        </w:rPr>
        <w:t>fín</w:t>
      </w:r>
      <w:proofErr w:type="spellEnd"/>
      <w:r w:rsidRPr="00773602">
        <w:rPr>
          <w:rFonts w:ascii="Verdana" w:hAnsi="Verdana"/>
        </w:rPr>
        <w:t xml:space="preserve"> de fomentar su sentido de pertenencia a una comunidad y su afán de participar en ella: con el fin de fomentar su civilidad.</w:t>
      </w:r>
    </w:p>
    <w:p w:rsidR="00773602" w:rsidRPr="00773602" w:rsidRDefault="00773602" w:rsidP="00773602">
      <w:pPr>
        <w:rPr>
          <w:rFonts w:ascii="Verdana" w:hAnsi="Verdana"/>
        </w:rPr>
      </w:pPr>
      <w:r w:rsidRPr="00773602">
        <w:rPr>
          <w:rFonts w:ascii="Verdana" w:hAnsi="Verdana"/>
        </w:rPr>
        <w:lastRenderedPageBreak/>
        <w:t xml:space="preserve">En ese sentido, tanto la tradición política republicana como el liberalismo social recuerdan hasta qué punto es necesario lograr una cohesión social que permita, no ya proteger el capitalismo y la democracia liberal, como quería Bell, sino llevar adelante cualesquiera proyectos políticos y económicos, incluido el de transformar la economía capitalista. E insisten en que tal </w:t>
      </w:r>
      <w:proofErr w:type="spellStart"/>
      <w:r w:rsidRPr="00773602">
        <w:rPr>
          <w:rFonts w:ascii="Verdana" w:hAnsi="Verdana"/>
        </w:rPr>
        <w:t>cohesion</w:t>
      </w:r>
      <w:proofErr w:type="spellEnd"/>
      <w:r w:rsidRPr="00773602">
        <w:rPr>
          <w:rFonts w:ascii="Verdana" w:hAnsi="Verdana"/>
        </w:rPr>
        <w:t xml:space="preserve"> no puede lograrse solo mediante el derecho, solo mediante una legislación coercitivamente impuesta, sino sobre todo a través de la libre adhesión y participación de los ciudadanos: a través del ejercicio de la virtud moral de la civilidad.</w:t>
      </w:r>
    </w:p>
    <w:p w:rsidR="00773602" w:rsidRPr="00773602" w:rsidRDefault="00773602" w:rsidP="00773602">
      <w:pPr>
        <w:rPr>
          <w:rFonts w:ascii="Verdana" w:hAnsi="Verdana"/>
        </w:rPr>
      </w:pPr>
      <w:r w:rsidRPr="00773602">
        <w:rPr>
          <w:rFonts w:ascii="Verdana" w:hAnsi="Verdana"/>
        </w:rPr>
        <w:t>Pero la civilidad no nace ni se desarrolla si no se produce una sintonía entre los dos actores sociales que entran en juego, entre la sociedad correspondiente y cada uno de sus miembros. Por eso la sociedad debe organizarse de tal modo que consiga generar en cada uno de sus miembros el sentimiento de que pertenece a ella, de que esa sociedad se preocupa por él y, en consecuencia, la convicción de que vale la pena trabajar por mantenerla y mejorarla. Reconocimiento de la sociedad hacia sus miembros y consecuente adhesión por parte de éstos a los proyectos comunes son dos caras de una misma moneda que, al menos como pretensión, componen ese concepto de ciudadanía que constituye la razón de ser de la civilidad.</w:t>
      </w:r>
    </w:p>
    <w:p w:rsidR="00773602" w:rsidRPr="00773602" w:rsidRDefault="00773602" w:rsidP="00773602">
      <w:pPr>
        <w:rPr>
          <w:rFonts w:ascii="Verdana" w:hAnsi="Verdana"/>
        </w:rPr>
      </w:pPr>
      <w:r w:rsidRPr="00773602">
        <w:rPr>
          <w:rFonts w:ascii="Verdana" w:hAnsi="Verdana"/>
        </w:rPr>
        <w:t>Precisamente porque la cohesión social se presenta como imprescindible en las sociedades postliberales, el concepto de ciudadanía es uno de los que genera una bibliografía más abundante en nuestro momento y, en la mayor parte de los casos, se trata de reforzar con él el imprescindible hábito de la civilidad.</w:t>
      </w:r>
    </w:p>
    <w:p w:rsidR="00773602" w:rsidRDefault="00773602">
      <w:pPr>
        <w:rPr>
          <w:rFonts w:ascii="Verdana" w:hAnsi="Verdana"/>
        </w:rPr>
      </w:pPr>
    </w:p>
    <w:p w:rsidR="00773602" w:rsidRPr="00773602" w:rsidRDefault="00773602">
      <w:pPr>
        <w:rPr>
          <w:rFonts w:ascii="Verdana" w:hAnsi="Verdana"/>
        </w:rPr>
      </w:pPr>
      <w:bookmarkStart w:id="0" w:name="_GoBack"/>
      <w:bookmarkEnd w:id="0"/>
    </w:p>
    <w:sectPr w:rsidR="00773602" w:rsidRPr="007736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602"/>
    <w:rsid w:val="00773602"/>
    <w:rsid w:val="00890423"/>
    <w:rsid w:val="00D932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1067</Words>
  <Characters>5869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Nohora Pedraza Araque</dc:creator>
  <cp:lastModifiedBy>Nohora Pedraza Araque</cp:lastModifiedBy>
  <cp:revision>1</cp:revision>
  <dcterms:created xsi:type="dcterms:W3CDTF">2013-10-21T20:30:00Z</dcterms:created>
  <dcterms:modified xsi:type="dcterms:W3CDTF">2013-10-21T20:34:00Z</dcterms:modified>
</cp:coreProperties>
</file>