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85" w:rsidRPr="007F68CB" w:rsidRDefault="00F97685" w:rsidP="007F68CB">
      <w:pPr>
        <w:spacing w:line="240" w:lineRule="auto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fldChar w:fldCharType="begin"/>
      </w:r>
      <w:r w:rsidRPr="007F68CB">
        <w:rPr>
          <w:rFonts w:ascii="Trebuchet MS" w:hAnsi="Trebuchet MS"/>
        </w:rPr>
        <w:instrText xml:space="preserve"> HYPERLINK "http://es.scribd.com/doc/49122060/ENSAYO-DE-LO-PUBLICO-Y-LO-ESTATAL" </w:instrText>
      </w:r>
      <w:r w:rsidRPr="007F68CB">
        <w:rPr>
          <w:rFonts w:ascii="Trebuchet MS" w:hAnsi="Trebuchet MS"/>
        </w:rPr>
        <w:fldChar w:fldCharType="separate"/>
      </w:r>
      <w:r w:rsidRPr="007F68CB">
        <w:rPr>
          <w:rStyle w:val="Hipervnculo"/>
          <w:rFonts w:ascii="Trebuchet MS" w:hAnsi="Trebuchet MS"/>
        </w:rPr>
        <w:t>http://es.scribd.com/doc/49122060/ENSAYO-DE-LO-PUBLICO-Y-LO-ESTATAL</w:t>
      </w:r>
      <w:r w:rsidRPr="007F68CB">
        <w:rPr>
          <w:rFonts w:ascii="Trebuchet MS" w:hAnsi="Trebuchet MS"/>
        </w:rPr>
        <w:fldChar w:fldCharType="end"/>
      </w:r>
    </w:p>
    <w:p w:rsidR="00F97685" w:rsidRPr="007F68CB" w:rsidRDefault="00F97685" w:rsidP="007F68C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7F68CB">
        <w:rPr>
          <w:rFonts w:ascii="Trebuchet MS" w:hAnsi="Trebuchet MS"/>
          <w:sz w:val="16"/>
          <w:szCs w:val="16"/>
          <w:lang w:val="en-US"/>
        </w:rPr>
        <w:t xml:space="preserve">Welcome to </w:t>
      </w:r>
      <w:proofErr w:type="spellStart"/>
      <w:r w:rsidRPr="007F68CB">
        <w:rPr>
          <w:rFonts w:ascii="Trebuchet MS" w:hAnsi="Trebuchet MS"/>
          <w:sz w:val="16"/>
          <w:szCs w:val="16"/>
          <w:lang w:val="en-US"/>
        </w:rPr>
        <w:t>Scribd</w:t>
      </w:r>
      <w:proofErr w:type="spellEnd"/>
      <w:r w:rsidRPr="007F68CB">
        <w:rPr>
          <w:rFonts w:ascii="Trebuchet MS" w:hAnsi="Trebuchet MS"/>
          <w:sz w:val="16"/>
          <w:szCs w:val="16"/>
          <w:lang w:val="en-US"/>
        </w:rPr>
        <w:t xml:space="preserve">, the world's digital library. Read, publish, and share books and documents. </w:t>
      </w:r>
      <w:proofErr w:type="spellStart"/>
      <w:r w:rsidRPr="007F68CB">
        <w:rPr>
          <w:rFonts w:ascii="Trebuchet MS" w:hAnsi="Trebuchet MS"/>
          <w:sz w:val="16"/>
          <w:szCs w:val="16"/>
        </w:rPr>
        <w:t>See</w:t>
      </w:r>
      <w:proofErr w:type="spellEnd"/>
      <w:r w:rsidRPr="007F68CB">
        <w:rPr>
          <w:rFonts w:ascii="Trebuchet MS" w:hAnsi="Trebuchet MS"/>
          <w:sz w:val="16"/>
          <w:szCs w:val="16"/>
        </w:rPr>
        <w:t xml:space="preserve"> more </w:t>
      </w:r>
      <w:r w:rsidRPr="007F68CB">
        <w:rPr>
          <w:rFonts w:ascii="MS Gothic" w:eastAsia="MS Gothic" w:hAnsi="MS Gothic" w:cs="MS Gothic" w:hint="eastAsia"/>
          <w:sz w:val="16"/>
          <w:szCs w:val="16"/>
        </w:rPr>
        <w:t>➡</w:t>
      </w:r>
    </w:p>
    <w:p w:rsidR="00F97685" w:rsidRPr="007F68CB" w:rsidRDefault="00B155FB" w:rsidP="007F68CB">
      <w:pPr>
        <w:spacing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ENSAYO DE LO PÚ</w:t>
      </w:r>
      <w:r w:rsidR="00F97685" w:rsidRPr="007F68CB">
        <w:rPr>
          <w:rFonts w:ascii="Trebuchet MS" w:hAnsi="Trebuchet MS"/>
          <w:b/>
        </w:rPr>
        <w:t>BLICO Y LO ESTATAL</w:t>
      </w:r>
      <w:r w:rsidR="00E11579">
        <w:rPr>
          <w:rFonts w:ascii="Trebuchet MS" w:hAnsi="Trebuchet MS"/>
          <w:b/>
        </w:rPr>
        <w:t xml:space="preserve">  (</w:t>
      </w:r>
      <w:r w:rsidR="00E11579" w:rsidRPr="00E11579">
        <w:rPr>
          <w:rFonts w:ascii="Trebuchet MS" w:hAnsi="Trebuchet MS"/>
          <w:i/>
        </w:rPr>
        <w:t>Fragmentos del artículo</w:t>
      </w:r>
      <w:r w:rsidR="00E11579">
        <w:rPr>
          <w:rFonts w:ascii="Trebuchet MS" w:hAnsi="Trebuchet MS"/>
          <w:b/>
        </w:rPr>
        <w:t>)</w:t>
      </w:r>
    </w:p>
    <w:p w:rsidR="00F97685" w:rsidRPr="007F68CB" w:rsidRDefault="00F97685" w:rsidP="007F68CB">
      <w:pPr>
        <w:spacing w:line="240" w:lineRule="auto"/>
        <w:jc w:val="both"/>
        <w:rPr>
          <w:rFonts w:ascii="Trebuchet MS" w:hAnsi="Trebuchet MS"/>
          <w:b/>
        </w:rPr>
      </w:pPr>
      <w:r w:rsidRPr="007F68CB">
        <w:rPr>
          <w:rFonts w:ascii="Trebuchet MS" w:hAnsi="Trebuchet MS"/>
          <w:b/>
        </w:rPr>
        <w:t>Publicado por</w:t>
      </w:r>
      <w:r w:rsidR="00C16757">
        <w:rPr>
          <w:rFonts w:ascii="Trebuchet MS" w:hAnsi="Trebuchet MS"/>
          <w:b/>
        </w:rPr>
        <w:t xml:space="preserve"> </w:t>
      </w:r>
      <w:proofErr w:type="spellStart"/>
      <w:r w:rsidRPr="007F68CB">
        <w:rPr>
          <w:rFonts w:ascii="Trebuchet MS" w:hAnsi="Trebuchet MS"/>
          <w:b/>
        </w:rPr>
        <w:t>Janner</w:t>
      </w:r>
      <w:proofErr w:type="spellEnd"/>
      <w:r w:rsidRPr="007F68CB">
        <w:rPr>
          <w:rFonts w:ascii="Trebuchet MS" w:hAnsi="Trebuchet MS"/>
          <w:b/>
        </w:rPr>
        <w:t xml:space="preserve"> </w:t>
      </w:r>
      <w:proofErr w:type="spellStart"/>
      <w:r w:rsidRPr="007F68CB">
        <w:rPr>
          <w:rFonts w:ascii="Trebuchet MS" w:hAnsi="Trebuchet MS"/>
          <w:b/>
        </w:rPr>
        <w:t>Nates</w:t>
      </w:r>
      <w:proofErr w:type="spellEnd"/>
    </w:p>
    <w:p w:rsidR="00F97685" w:rsidRPr="007F68CB" w:rsidRDefault="00F97685" w:rsidP="007F68CB">
      <w:pPr>
        <w:spacing w:line="240" w:lineRule="auto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t xml:space="preserve"> </w:t>
      </w:r>
    </w:p>
    <w:p w:rsidR="007F68CB" w:rsidRDefault="00F97685" w:rsidP="007F68CB">
      <w:pPr>
        <w:spacing w:line="240" w:lineRule="auto"/>
        <w:ind w:firstLine="708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t xml:space="preserve">El presente ensayo gira en torno a </w:t>
      </w:r>
      <w:r w:rsidR="007F68CB">
        <w:rPr>
          <w:rFonts w:ascii="Trebuchet MS" w:hAnsi="Trebuchet MS"/>
        </w:rPr>
        <w:t xml:space="preserve">la </w:t>
      </w:r>
      <w:r w:rsidRPr="007F68CB">
        <w:rPr>
          <w:rFonts w:ascii="Trebuchet MS" w:hAnsi="Trebuchet MS"/>
        </w:rPr>
        <w:t>discusión de lo público y lo estatal que de acuerdo al contenido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temático de Problemática Publica busca dar argumentos de fuerza para demostrar la asimilación y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diferencia que desde el desarrollo de diferentes enfoques se han llevado a cabo, por otra parte</w:t>
      </w:r>
      <w:r w:rsidR="007F68CB">
        <w:rPr>
          <w:rFonts w:ascii="Trebuchet MS" w:hAnsi="Trebuchet MS"/>
        </w:rPr>
        <w:t xml:space="preserve"> establecer cuá</w:t>
      </w:r>
      <w:r w:rsidRPr="007F68CB">
        <w:rPr>
          <w:rFonts w:ascii="Trebuchet MS" w:hAnsi="Trebuchet MS"/>
        </w:rPr>
        <w:t>l es la re</w:t>
      </w:r>
      <w:r w:rsidR="007F68CB">
        <w:rPr>
          <w:rFonts w:ascii="Trebuchet MS" w:hAnsi="Trebuchet MS"/>
        </w:rPr>
        <w:t>lación de estos conceptos con lo</w:t>
      </w:r>
      <w:r w:rsidRPr="007F68CB">
        <w:rPr>
          <w:rFonts w:ascii="Trebuchet MS" w:hAnsi="Trebuchet MS"/>
        </w:rPr>
        <w:t xml:space="preserve"> </w:t>
      </w:r>
      <w:r w:rsidR="007F68CB">
        <w:rPr>
          <w:rFonts w:ascii="Trebuchet MS" w:hAnsi="Trebuchet MS"/>
        </w:rPr>
        <w:t>de</w:t>
      </w:r>
      <w:r w:rsidRPr="007F68CB">
        <w:rPr>
          <w:rFonts w:ascii="Trebuchet MS" w:hAnsi="Trebuchet MS"/>
        </w:rPr>
        <w:t>nominado “lo público estatal y lo público no</w:t>
      </w:r>
      <w:r w:rsidR="007F68CB">
        <w:rPr>
          <w:rFonts w:ascii="Trebuchet MS" w:hAnsi="Trebuchet MS"/>
        </w:rPr>
        <w:t xml:space="preserve"> </w:t>
      </w:r>
      <w:proofErr w:type="gramStart"/>
      <w:r w:rsidRPr="007F68CB">
        <w:rPr>
          <w:rFonts w:ascii="Trebuchet MS" w:hAnsi="Trebuchet MS"/>
        </w:rPr>
        <w:t>estatal .”</w:t>
      </w:r>
      <w:proofErr w:type="gramEnd"/>
    </w:p>
    <w:p w:rsidR="007F68CB" w:rsidRDefault="00F97685" w:rsidP="007F68CB">
      <w:pPr>
        <w:spacing w:line="240" w:lineRule="auto"/>
        <w:ind w:firstLine="708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t>En los comienzos del Estado moderno, lo público y lo estatal se</w:t>
      </w:r>
      <w:r w:rsidR="007F68CB">
        <w:rPr>
          <w:rFonts w:ascii="Trebuchet MS" w:hAnsi="Trebuchet MS"/>
        </w:rPr>
        <w:t xml:space="preserve"> presentaban confundidos expresá</w:t>
      </w:r>
      <w:r w:rsidRPr="007F68CB">
        <w:rPr>
          <w:rFonts w:ascii="Trebuchet MS" w:hAnsi="Trebuchet MS"/>
        </w:rPr>
        <w:t>ndolo que es común a todos. Sin embargo, ya no es posible sostener semejante asimilación pues, si bien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 xml:space="preserve">todo lo estatal es por definición público, no todo lo público es hoy estatal. </w:t>
      </w:r>
    </w:p>
    <w:p w:rsidR="007F68CB" w:rsidRDefault="00F97685" w:rsidP="007F68CB">
      <w:pPr>
        <w:spacing w:line="240" w:lineRule="auto"/>
        <w:ind w:firstLine="708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t>En nuestros días, lo público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designa un denso, amplio y rico entramado que excede los límites del Estado de modo que éste ya no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mantiene el monopolio para expresarlo y contenerlo.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Partiendo de lo anterior lo público se define a partir de las dimensiones y elementos constitutivos que lo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configuran, en este orden de ideas se atribuye la noción de Publico a todo aquello que es de uso y de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utilidad común que tiene acceso abierto sin restricc</w:t>
      </w:r>
      <w:r w:rsidR="007F68CB">
        <w:rPr>
          <w:rFonts w:ascii="Trebuchet MS" w:hAnsi="Trebuchet MS"/>
        </w:rPr>
        <w:t>iones y en ú</w:t>
      </w:r>
      <w:r w:rsidRPr="007F68CB">
        <w:rPr>
          <w:rFonts w:ascii="Trebuchet MS" w:hAnsi="Trebuchet MS"/>
        </w:rPr>
        <w:t>ltimo lugar se relaciona con aquello que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es visi</w:t>
      </w:r>
      <w:r w:rsidR="007F68CB">
        <w:rPr>
          <w:rFonts w:ascii="Trebuchet MS" w:hAnsi="Trebuchet MS"/>
        </w:rPr>
        <w:t>ble y de comunicación común, así</w:t>
      </w:r>
      <w:r w:rsidRPr="007F68CB">
        <w:rPr>
          <w:rFonts w:ascii="Trebuchet MS" w:hAnsi="Trebuchet MS"/>
        </w:rPr>
        <w:t xml:space="preserve"> los alcances y contenidos de lo público constituyan un motivo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de controversia como lo testimonia la amplia literatura disponible sobre el tema.</w:t>
      </w:r>
      <w:r w:rsidR="007F68CB">
        <w:rPr>
          <w:rFonts w:ascii="Trebuchet MS" w:hAnsi="Trebuchet MS"/>
        </w:rPr>
        <w:t xml:space="preserve"> </w:t>
      </w:r>
    </w:p>
    <w:p w:rsidR="007F68CB" w:rsidRDefault="00F97685" w:rsidP="007F68CB">
      <w:pPr>
        <w:spacing w:line="240" w:lineRule="auto"/>
        <w:ind w:firstLine="708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t>Por otra parte desde el análisis de la situación actual de nuestro país no es posible asimilar lo público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con lo estatal puesto q</w:t>
      </w:r>
      <w:r w:rsidR="007F68CB">
        <w:rPr>
          <w:rFonts w:ascii="Trebuchet MS" w:hAnsi="Trebuchet MS"/>
        </w:rPr>
        <w:t>ue la naturaleza del Estado está</w:t>
      </w:r>
      <w:r w:rsidRPr="007F68CB">
        <w:rPr>
          <w:rFonts w:ascii="Trebuchet MS" w:hAnsi="Trebuchet MS"/>
        </w:rPr>
        <w:t xml:space="preserve"> desdibujada en tanto que las actuaciones de los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actores gubernamentales e institucionales no benefician positivamente al conglomerado de la sociedad,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dado que todos aquellos canales que se han estructurado para conectar al Estado con la sociedad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están permeados por lógicas y prácticas en la que subsisten intereses privados que le imprime un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carácter de beneficio particular, obedeciendo de esta forma a los intereses de poderosos grupos y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redes de privados, las formas en que se expresan dichas lógicas corresponde a prácticas como el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 xml:space="preserve">clientelismo, corporativismo y corrupción. </w:t>
      </w:r>
    </w:p>
    <w:p w:rsidR="007F68CB" w:rsidRDefault="00F97685" w:rsidP="007F68CB">
      <w:pPr>
        <w:spacing w:line="240" w:lineRule="auto"/>
        <w:ind w:firstLine="708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t>De igual forma lo estatal pierde la connotación de lo público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cuando no se permite a la ciudadanía su acceso para beneficiarse de él o para controvertirlo como</w:t>
      </w:r>
      <w:r w:rsidR="007F68CB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titular del poder que es. Todo este conjunto de problemáticas plantea un horizonte no muy alentador que pone en duda y en tela de juicio la naturaleza pública del Estado colombiano.</w:t>
      </w:r>
      <w:r w:rsidR="007F68CB">
        <w:rPr>
          <w:rFonts w:ascii="Trebuchet MS" w:hAnsi="Trebuchet MS"/>
        </w:rPr>
        <w:t xml:space="preserve"> </w:t>
      </w:r>
    </w:p>
    <w:p w:rsidR="00C16757" w:rsidRDefault="00F97685" w:rsidP="007F68CB">
      <w:pPr>
        <w:spacing w:line="240" w:lineRule="auto"/>
        <w:ind w:firstLine="708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t>Lo público lo entendemos como esa zona de contornos imprecisos que se nutre tanto de la energía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proveniente de la capacidad asociativa, participación, deliberación y auto-organización de la sociedad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 xml:space="preserve">civil, como de la universalidad </w:t>
      </w:r>
      <w:r w:rsidR="00C16757">
        <w:rPr>
          <w:rFonts w:ascii="Trebuchet MS" w:hAnsi="Trebuchet MS"/>
        </w:rPr>
        <w:t xml:space="preserve">del Estado y del propio mercado. </w:t>
      </w:r>
      <w:r w:rsidRPr="007F68CB">
        <w:rPr>
          <w:rFonts w:ascii="Trebuchet MS" w:hAnsi="Trebuchet MS"/>
        </w:rPr>
        <w:t xml:space="preserve"> </w:t>
      </w:r>
    </w:p>
    <w:p w:rsidR="00C16757" w:rsidRDefault="00F97685" w:rsidP="007F68CB">
      <w:pPr>
        <w:spacing w:line="240" w:lineRule="auto"/>
        <w:ind w:firstLine="708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lastRenderedPageBreak/>
        <w:t>Lo público entonces, no sólo evoca el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ámbito en el que los ciudadanos formulan autónomamente los asuntos de interés general sino también,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las capacidades colectivas que el Estado debe garantizar para conformar un espacio común y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 xml:space="preserve">compartido. </w:t>
      </w:r>
    </w:p>
    <w:p w:rsidR="00C16757" w:rsidRDefault="00F97685" w:rsidP="007F68CB">
      <w:pPr>
        <w:spacing w:line="240" w:lineRule="auto"/>
        <w:ind w:firstLine="708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t xml:space="preserve">Lo público no debe ser comprendido como “un” espacio </w:t>
      </w:r>
      <w:proofErr w:type="spellStart"/>
      <w:r w:rsidRPr="007F68CB">
        <w:rPr>
          <w:rFonts w:ascii="Trebuchet MS" w:hAnsi="Trebuchet MS"/>
        </w:rPr>
        <w:t>societal</w:t>
      </w:r>
      <w:proofErr w:type="spellEnd"/>
      <w:r w:rsidRPr="007F68CB">
        <w:rPr>
          <w:rFonts w:ascii="Trebuchet MS" w:hAnsi="Trebuchet MS"/>
        </w:rPr>
        <w:t xml:space="preserve"> único y excluyente, sino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que más bien se trata de una multiplicidad de espacios: espacio público constituido por el Estado en la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conducción de asuntos de interés colectivo, espacio público configurado por la acción de movimientos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sociales y grupos formadores de opinión como los partidos y los medios de comunicación, espacio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público gestado por la participación informal de grupos ciudadanos alrededor de asuntos colectivos.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Dando por entendido con lo anterior que lo público es aquel espacio en que confluyen diferentes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energías que, no son excluyentes, por el contrario, se necesitan y refuerzan mutuamente.</w:t>
      </w:r>
      <w:r w:rsidR="00C16757">
        <w:rPr>
          <w:rFonts w:ascii="Trebuchet MS" w:hAnsi="Trebuchet MS"/>
        </w:rPr>
        <w:t xml:space="preserve"> </w:t>
      </w:r>
    </w:p>
    <w:p w:rsidR="00C16757" w:rsidRDefault="00F97685" w:rsidP="00C16757">
      <w:pPr>
        <w:spacing w:line="240" w:lineRule="auto"/>
        <w:ind w:firstLine="708"/>
        <w:jc w:val="both"/>
        <w:rPr>
          <w:rFonts w:ascii="Trebuchet MS" w:hAnsi="Trebuchet MS"/>
        </w:rPr>
      </w:pPr>
      <w:r w:rsidRPr="007F68CB">
        <w:rPr>
          <w:rFonts w:ascii="Trebuchet MS" w:hAnsi="Trebuchet MS"/>
        </w:rPr>
        <w:t>En lo concerniente a lo público estatal se configuran dos caras totalmente inseparables y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>complementarias como son: generar bienes públicos desde el Estado y someter a éste a control público</w:t>
      </w:r>
      <w:r w:rsidR="00C16757">
        <w:rPr>
          <w:rFonts w:ascii="Trebuchet MS" w:hAnsi="Trebuchet MS"/>
        </w:rPr>
        <w:t xml:space="preserve"> </w:t>
      </w:r>
      <w:r w:rsidRPr="007F68CB">
        <w:rPr>
          <w:rFonts w:ascii="Trebuchet MS" w:hAnsi="Trebuchet MS"/>
        </w:rPr>
        <w:t xml:space="preserve">para contrarrestar su capacidad y arbitrariedad. </w:t>
      </w:r>
    </w:p>
    <w:p w:rsidR="00E11579" w:rsidRDefault="00C16757" w:rsidP="00C16757">
      <w:pPr>
        <w:spacing w:line="240" w:lineRule="auto"/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L</w:t>
      </w:r>
      <w:r w:rsidR="00F97685" w:rsidRPr="007F68CB">
        <w:rPr>
          <w:rFonts w:ascii="Trebuchet MS" w:hAnsi="Trebuchet MS"/>
        </w:rPr>
        <w:t>o público estatal tiene una estrecha relación con el</w:t>
      </w:r>
      <w:r>
        <w:rPr>
          <w:rFonts w:ascii="Trebuchet MS" w:hAnsi="Trebuchet MS"/>
        </w:rPr>
        <w:t xml:space="preserve"> </w:t>
      </w:r>
      <w:r w:rsidR="00F97685" w:rsidRPr="007F68CB">
        <w:rPr>
          <w:rFonts w:ascii="Trebuchet MS" w:hAnsi="Trebuchet MS"/>
        </w:rPr>
        <w:t xml:space="preserve">ejercicio del poder del Estado ya que para tornarse </w:t>
      </w:r>
      <w:proofErr w:type="gramStart"/>
      <w:r w:rsidR="00F97685" w:rsidRPr="007F68CB">
        <w:rPr>
          <w:rFonts w:ascii="Trebuchet MS" w:hAnsi="Trebuchet MS"/>
        </w:rPr>
        <w:t>más ”</w:t>
      </w:r>
      <w:proofErr w:type="gramEnd"/>
      <w:r w:rsidR="00F97685" w:rsidRPr="007F68CB">
        <w:rPr>
          <w:rFonts w:ascii="Trebuchet MS" w:hAnsi="Trebuchet MS"/>
        </w:rPr>
        <w:t>publico” y democrático debe buscar la</w:t>
      </w:r>
      <w:r>
        <w:rPr>
          <w:rFonts w:ascii="Trebuchet MS" w:hAnsi="Trebuchet MS"/>
        </w:rPr>
        <w:t xml:space="preserve"> </w:t>
      </w:r>
      <w:r w:rsidR="00F97685" w:rsidRPr="007F68CB">
        <w:rPr>
          <w:rFonts w:ascii="Trebuchet MS" w:hAnsi="Trebuchet MS"/>
        </w:rPr>
        <w:t>racionalización del poder en dos dimensiones: la primera la</w:t>
      </w:r>
      <w:r>
        <w:rPr>
          <w:rFonts w:ascii="Trebuchet MS" w:hAnsi="Trebuchet MS"/>
        </w:rPr>
        <w:t xml:space="preserve"> </w:t>
      </w:r>
      <w:r w:rsidR="00F97685" w:rsidRPr="007F68CB">
        <w:rPr>
          <w:rFonts w:ascii="Trebuchet MS" w:hAnsi="Trebuchet MS"/>
        </w:rPr>
        <w:t>necesidad de publicidad que debe rodear a los actos de gobierno, al debate público que debe preceder y sustentar a sus decisiones y al acceso a</w:t>
      </w:r>
      <w:r>
        <w:rPr>
          <w:rFonts w:ascii="Trebuchet MS" w:hAnsi="Trebuchet MS"/>
        </w:rPr>
        <w:t xml:space="preserve"> </w:t>
      </w:r>
      <w:r w:rsidR="00F97685" w:rsidRPr="007F68CB">
        <w:rPr>
          <w:rFonts w:ascii="Trebuchet MS" w:hAnsi="Trebuchet MS"/>
        </w:rPr>
        <w:t xml:space="preserve">la información que el Estado controla. </w:t>
      </w:r>
    </w:p>
    <w:p w:rsidR="00F97685" w:rsidRPr="007F68CB" w:rsidRDefault="00F97685" w:rsidP="007F68CB">
      <w:pPr>
        <w:spacing w:line="240" w:lineRule="auto"/>
        <w:jc w:val="both"/>
        <w:rPr>
          <w:rFonts w:ascii="Trebuchet MS" w:hAnsi="Trebuchet MS"/>
        </w:rPr>
      </w:pPr>
    </w:p>
    <w:p w:rsidR="00F97685" w:rsidRPr="00E11579" w:rsidRDefault="00F97685" w:rsidP="007F68CB">
      <w:pPr>
        <w:spacing w:line="240" w:lineRule="auto"/>
        <w:jc w:val="both"/>
        <w:rPr>
          <w:rFonts w:ascii="Trebuchet MS" w:hAnsi="Trebuchet MS"/>
          <w:i/>
          <w:lang w:val="en-US"/>
        </w:rPr>
      </w:pPr>
      <w:r w:rsidRPr="00E11579">
        <w:rPr>
          <w:rFonts w:ascii="Trebuchet MS" w:hAnsi="Trebuchet MS"/>
          <w:i/>
          <w:lang w:val="en-US"/>
        </w:rPr>
        <w:t xml:space="preserve">You're reading a free preview. </w:t>
      </w:r>
    </w:p>
    <w:p w:rsidR="00F97685" w:rsidRPr="00E11579" w:rsidRDefault="00F97685" w:rsidP="007F68CB">
      <w:pPr>
        <w:spacing w:line="240" w:lineRule="auto"/>
        <w:jc w:val="both"/>
        <w:rPr>
          <w:rFonts w:ascii="Trebuchet MS" w:hAnsi="Trebuchet MS"/>
          <w:i/>
          <w:lang w:val="en-US"/>
        </w:rPr>
      </w:pPr>
      <w:r w:rsidRPr="00E11579">
        <w:rPr>
          <w:rFonts w:ascii="Trebuchet MS" w:hAnsi="Trebuchet MS"/>
          <w:i/>
          <w:lang w:val="en-US"/>
        </w:rPr>
        <w:t>Page 2 is not shown in this preview.</w:t>
      </w:r>
    </w:p>
    <w:p w:rsidR="00E11579" w:rsidRDefault="00F97685" w:rsidP="00E11579">
      <w:pPr>
        <w:shd w:val="clear" w:color="auto" w:fill="C6D9F1" w:themeFill="text2" w:themeFillTint="33"/>
        <w:spacing w:line="240" w:lineRule="auto"/>
        <w:jc w:val="both"/>
        <w:rPr>
          <w:rFonts w:ascii="Trebuchet MS" w:hAnsi="Trebuchet MS"/>
          <w:i/>
        </w:rPr>
      </w:pPr>
      <w:r w:rsidRPr="00E11579">
        <w:rPr>
          <w:rFonts w:ascii="Trebuchet MS" w:hAnsi="Trebuchet MS"/>
          <w:i/>
        </w:rPr>
        <w:t>Leer la versión completa</w:t>
      </w:r>
      <w:r w:rsidR="00E11579">
        <w:rPr>
          <w:rFonts w:ascii="Trebuchet MS" w:hAnsi="Trebuchet MS"/>
          <w:i/>
        </w:rPr>
        <w:t xml:space="preserve">. </w:t>
      </w:r>
    </w:p>
    <w:p w:rsidR="00B155FB" w:rsidRPr="00B155FB" w:rsidRDefault="00E11579" w:rsidP="00B155FB">
      <w:pPr>
        <w:shd w:val="clear" w:color="auto" w:fill="C6D9F1" w:themeFill="text2" w:themeFillTint="33"/>
        <w:spacing w:line="240" w:lineRule="auto"/>
        <w:jc w:val="both"/>
        <w:rPr>
          <w:rFonts w:ascii="Trebuchet MS" w:hAnsi="Trebuchet MS"/>
          <w:b/>
          <w:i/>
        </w:rPr>
      </w:pPr>
      <w:r w:rsidRPr="00E11579">
        <w:rPr>
          <w:rFonts w:ascii="Trebuchet MS" w:hAnsi="Trebuchet MS"/>
          <w:b/>
          <w:i/>
        </w:rPr>
        <w:t xml:space="preserve">NOTA: Hay </w:t>
      </w:r>
      <w:r w:rsidR="00B155FB">
        <w:rPr>
          <w:rFonts w:ascii="Trebuchet MS" w:hAnsi="Trebuchet MS"/>
          <w:b/>
          <w:i/>
        </w:rPr>
        <w:t xml:space="preserve">que solicitarla, entrar a la dirección: </w:t>
      </w:r>
      <w:hyperlink r:id="rId5" w:history="1">
        <w:r w:rsidR="00B155FB" w:rsidRPr="00B155FB">
          <w:rPr>
            <w:rStyle w:val="Hipervnculo"/>
            <w:rFonts w:ascii="Trebuchet MS" w:hAnsi="Trebuchet MS"/>
            <w:b/>
            <w:i/>
          </w:rPr>
          <w:t>http://es.scribd.com/doc/49122060/ENSAYO-DE-LO-PUBLICO-Y-LO-ESTATAL</w:t>
        </w:r>
      </w:hyperlink>
    </w:p>
    <w:p w:rsidR="00F97685" w:rsidRPr="00E11579" w:rsidRDefault="00F97685" w:rsidP="00E11579">
      <w:pPr>
        <w:shd w:val="clear" w:color="auto" w:fill="C6D9F1" w:themeFill="text2" w:themeFillTint="33"/>
        <w:spacing w:line="240" w:lineRule="auto"/>
        <w:jc w:val="both"/>
        <w:rPr>
          <w:rFonts w:ascii="Trebuchet MS" w:hAnsi="Trebuchet MS"/>
          <w:b/>
          <w:i/>
        </w:rPr>
      </w:pPr>
    </w:p>
    <w:p w:rsidR="00D036E2" w:rsidRPr="007F68CB" w:rsidRDefault="00D036E2" w:rsidP="007F68CB">
      <w:pPr>
        <w:pBdr>
          <w:bottom w:val="single" w:sz="12" w:space="1" w:color="auto"/>
        </w:pBdr>
        <w:spacing w:line="240" w:lineRule="auto"/>
        <w:jc w:val="both"/>
        <w:rPr>
          <w:rFonts w:ascii="Trebuchet MS" w:hAnsi="Trebuchet MS"/>
        </w:rPr>
      </w:pPr>
    </w:p>
    <w:p w:rsidR="00D036E2" w:rsidRPr="007F68CB" w:rsidRDefault="00D036E2" w:rsidP="007F68CB">
      <w:pPr>
        <w:spacing w:line="240" w:lineRule="auto"/>
        <w:jc w:val="both"/>
        <w:rPr>
          <w:rFonts w:ascii="Trebuchet MS" w:hAnsi="Trebuchet MS"/>
        </w:rPr>
      </w:pPr>
    </w:p>
    <w:p w:rsidR="00D036E2" w:rsidRPr="007F68CB" w:rsidRDefault="00D036E2" w:rsidP="007F68CB">
      <w:pPr>
        <w:spacing w:line="240" w:lineRule="auto"/>
        <w:jc w:val="both"/>
        <w:rPr>
          <w:rFonts w:ascii="Trebuchet MS" w:hAnsi="Trebuchet MS"/>
        </w:rPr>
      </w:pPr>
      <w:bookmarkStart w:id="0" w:name="_GoBack"/>
      <w:bookmarkEnd w:id="0"/>
    </w:p>
    <w:p w:rsidR="00D036E2" w:rsidRPr="007F68CB" w:rsidRDefault="00D036E2" w:rsidP="007F68CB">
      <w:pPr>
        <w:spacing w:line="240" w:lineRule="auto"/>
        <w:jc w:val="both"/>
        <w:rPr>
          <w:rFonts w:ascii="Trebuchet MS" w:hAnsi="Trebuchet MS"/>
        </w:rPr>
      </w:pPr>
    </w:p>
    <w:p w:rsidR="00D036E2" w:rsidRPr="007F68CB" w:rsidRDefault="00D036E2" w:rsidP="007F68CB">
      <w:pPr>
        <w:spacing w:line="240" w:lineRule="auto"/>
        <w:jc w:val="both"/>
        <w:rPr>
          <w:rFonts w:ascii="Trebuchet MS" w:hAnsi="Trebuchet MS"/>
        </w:rPr>
      </w:pPr>
    </w:p>
    <w:p w:rsidR="00D036E2" w:rsidRPr="007F68CB" w:rsidRDefault="00D036E2" w:rsidP="007F68CB">
      <w:pPr>
        <w:spacing w:line="240" w:lineRule="auto"/>
        <w:jc w:val="both"/>
        <w:rPr>
          <w:rFonts w:ascii="Trebuchet MS" w:hAnsi="Trebuchet MS"/>
        </w:rPr>
      </w:pPr>
    </w:p>
    <w:p w:rsidR="00D036E2" w:rsidRPr="007F68CB" w:rsidRDefault="00D036E2" w:rsidP="007F68CB">
      <w:pPr>
        <w:spacing w:line="240" w:lineRule="auto"/>
        <w:jc w:val="both"/>
        <w:rPr>
          <w:rFonts w:ascii="Trebuchet MS" w:hAnsi="Trebuchet MS"/>
        </w:rPr>
      </w:pPr>
    </w:p>
    <w:p w:rsidR="00D036E2" w:rsidRPr="007F68CB" w:rsidRDefault="00D036E2" w:rsidP="007F68CB">
      <w:pPr>
        <w:spacing w:line="240" w:lineRule="auto"/>
        <w:jc w:val="both"/>
        <w:rPr>
          <w:rFonts w:ascii="Trebuchet MS" w:hAnsi="Trebuchet MS"/>
        </w:rPr>
      </w:pPr>
    </w:p>
    <w:p w:rsidR="00D036E2" w:rsidRPr="007F68CB" w:rsidRDefault="00D036E2" w:rsidP="007F68CB">
      <w:pPr>
        <w:spacing w:line="240" w:lineRule="auto"/>
        <w:jc w:val="both"/>
        <w:rPr>
          <w:rFonts w:ascii="Trebuchet MS" w:hAnsi="Trebuchet MS"/>
        </w:rPr>
      </w:pPr>
    </w:p>
    <w:sectPr w:rsidR="00D036E2" w:rsidRPr="007F68CB" w:rsidSect="007F68CB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72"/>
    <w:rsid w:val="001016AC"/>
    <w:rsid w:val="00410C6D"/>
    <w:rsid w:val="005017FF"/>
    <w:rsid w:val="00605A7B"/>
    <w:rsid w:val="007F68CB"/>
    <w:rsid w:val="00967772"/>
    <w:rsid w:val="00B155FB"/>
    <w:rsid w:val="00BE4952"/>
    <w:rsid w:val="00C16757"/>
    <w:rsid w:val="00D036E2"/>
    <w:rsid w:val="00D951F1"/>
    <w:rsid w:val="00E11579"/>
    <w:rsid w:val="00EE2ECE"/>
    <w:rsid w:val="00F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77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2EC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17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77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2EC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17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3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.scribd.com/doc/49122060/ENSAYO-DE-LO-PUBLICO-Y-LO-ESTA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Dagoberto Villamil Rodriguez</dc:creator>
  <cp:lastModifiedBy>Nohora Pedraza Araque</cp:lastModifiedBy>
  <cp:revision>7</cp:revision>
  <dcterms:created xsi:type="dcterms:W3CDTF">2013-10-23T11:36:00Z</dcterms:created>
  <dcterms:modified xsi:type="dcterms:W3CDTF">2013-10-24T16:02:00Z</dcterms:modified>
</cp:coreProperties>
</file>